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color w:val="auto"/>
          <w:szCs w:val="32"/>
          <w:lang w:eastAsia="zh-CN"/>
        </w:rPr>
      </w:pPr>
      <w:r>
        <w:rPr>
          <w:rFonts w:hint="eastAsia" w:ascii="Times New Roman" w:hAnsi="Times New Roman" w:eastAsia="方正小标宋简体"/>
          <w:color w:val="auto"/>
          <w:szCs w:val="32"/>
        </w:rPr>
        <w:t>第</w:t>
      </w:r>
      <w:r>
        <w:rPr>
          <w:rFonts w:hint="eastAsia" w:ascii="Times New Roman" w:hAnsi="Times New Roman" w:eastAsia="方正小标宋简体"/>
          <w:color w:val="auto"/>
          <w:szCs w:val="32"/>
          <w:lang w:eastAsia="zh-CN"/>
        </w:rPr>
        <w:t>四</w:t>
      </w:r>
      <w:r>
        <w:rPr>
          <w:rFonts w:hint="eastAsia" w:ascii="Times New Roman" w:hAnsi="Times New Roman" w:eastAsia="方正小标宋简体"/>
          <w:color w:val="auto"/>
          <w:szCs w:val="32"/>
        </w:rPr>
        <w:t>类</w:t>
      </w:r>
      <w:r>
        <w:rPr>
          <w:rFonts w:ascii="Times New Roman" w:hAnsi="Times New Roman" w:eastAsia="方正小标宋简体"/>
          <w:color w:val="auto"/>
          <w:szCs w:val="32"/>
        </w:rPr>
        <w:t xml:space="preserve"> </w:t>
      </w:r>
      <w:r>
        <w:rPr>
          <w:rFonts w:hint="eastAsia" w:ascii="Times New Roman" w:hAnsi="Times New Roman" w:eastAsia="方正小标宋简体"/>
          <w:color w:val="auto"/>
          <w:szCs w:val="32"/>
        </w:rPr>
        <w:t>食品经营许可现场核查</w:t>
      </w:r>
      <w:r>
        <w:rPr>
          <w:rFonts w:hint="eastAsia" w:ascii="Times New Roman" w:hAnsi="Times New Roman" w:eastAsia="方正小标宋简体"/>
          <w:color w:val="auto"/>
          <w:szCs w:val="32"/>
          <w:lang w:eastAsia="zh-CN"/>
        </w:rPr>
        <w:t>内容</w:t>
      </w:r>
    </w:p>
    <w:p>
      <w:pPr>
        <w:spacing w:line="580" w:lineRule="exact"/>
        <w:jc w:val="center"/>
        <w:rPr>
          <w:rFonts w:hint="eastAsia" w:ascii="Times New Roman" w:hAnsi="Times New Roman" w:eastAsia="楷体"/>
          <w:color w:val="auto"/>
          <w:szCs w:val="32"/>
        </w:rPr>
      </w:pPr>
      <w:r>
        <w:rPr>
          <w:rFonts w:hint="eastAsia" w:ascii="Times New Roman" w:hAnsi="Times New Roman" w:eastAsia="楷体"/>
          <w:color w:val="auto"/>
          <w:szCs w:val="32"/>
        </w:rPr>
        <w:t>（适用于</w:t>
      </w:r>
      <w:r>
        <w:rPr>
          <w:rFonts w:hint="eastAsia" w:ascii="Times New Roman" w:hAnsi="Times New Roman" w:eastAsia="楷体"/>
          <w:color w:val="auto"/>
          <w:kern w:val="0"/>
          <w:szCs w:val="32"/>
          <w:lang w:eastAsia="zh-CN"/>
        </w:rPr>
        <w:t>仅从事简单制售的经营者</w:t>
      </w:r>
      <w:r>
        <w:rPr>
          <w:rFonts w:hint="eastAsia" w:ascii="Times New Roman" w:hAnsi="Times New Roman" w:eastAsia="楷体"/>
          <w:color w:val="auto"/>
          <w:szCs w:val="32"/>
        </w:rPr>
        <w:t>）</w:t>
      </w:r>
    </w:p>
    <w:p>
      <w:pPr>
        <w:pStyle w:val="2"/>
        <w:rPr>
          <w:sz w:val="18"/>
          <w:szCs w:val="18"/>
        </w:rPr>
      </w:pPr>
    </w:p>
    <w:tbl>
      <w:tblPr>
        <w:tblStyle w:val="5"/>
        <w:tblW w:w="9621" w:type="dxa"/>
        <w:tblInd w:w="-5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8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经营者名称：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地址：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 xml:space="preserve">申请经营业态: 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申请经营项目：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>
      <w:pPr>
        <w:bidi w:val="0"/>
        <w:rPr>
          <w:sz w:val="18"/>
          <w:szCs w:val="18"/>
        </w:rPr>
      </w:pPr>
    </w:p>
    <w:tbl>
      <w:tblPr>
        <w:tblStyle w:val="4"/>
        <w:tblpPr w:leftFromText="180" w:rightFromText="180" w:vertAnchor="text" w:horzAnchor="margin" w:tblpXSpec="center" w:tblpY="2"/>
        <w:tblW w:w="9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5592"/>
        <w:gridCol w:w="600"/>
        <w:gridCol w:w="600"/>
        <w:gridCol w:w="705"/>
        <w:gridCol w:w="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50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核查内容</w:t>
            </w:r>
          </w:p>
        </w:tc>
        <w:tc>
          <w:tcPr>
            <w:tcW w:w="559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核查和评价方法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  <w:lang w:eastAsia="zh-CN"/>
              </w:rPr>
              <w:t>序</w:t>
            </w: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2086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结果判定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pacing w:line="340" w:lineRule="exact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vMerge w:val="continue"/>
            <w:noWrap w:val="0"/>
            <w:vAlign w:val="center"/>
          </w:tcPr>
          <w:p>
            <w:pPr>
              <w:spacing w:line="340" w:lineRule="exact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符合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不符合</w:t>
            </w:r>
          </w:p>
        </w:tc>
        <w:tc>
          <w:tcPr>
            <w:tcW w:w="78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合理缺项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7" w:hRule="atLeast"/>
          <w:jc w:val="center"/>
        </w:trPr>
        <w:tc>
          <w:tcPr>
            <w:tcW w:w="150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1.选址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及场所设置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选择有给排水条件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（设施）和电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力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供应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的地区，不得设在易受到污染的区域。</w:t>
            </w:r>
            <w:r>
              <w:rPr>
                <w:rFonts w:hint="eastAsia" w:ascii="Times New Roman" w:hAnsi="Times New Roman" w:cs="仿宋_GB2312"/>
                <w:sz w:val="24"/>
              </w:rPr>
              <w:t>距离粪坑、污水池、暴露垃圾场（站）、旱厕等污染源25m以上。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地面平整；墙壁不易积垢；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天花板不渗水，无脱落、破损。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食品原料处理和食品加工、销售、贮存等场所环境整洁。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设置与食品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加工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方式和品种相适应的初加工、半成品制作、成品加工、售卖等功能区。各功能区分区较为明确，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可避免交叉污染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  <w:jc w:val="center"/>
        </w:trPr>
        <w:tc>
          <w:tcPr>
            <w:tcW w:w="150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食品工用具及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清洗、保洁设施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根据加工品种和规模，设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置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一个以上的原料清洗水池（容器）。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使用容器代替水池的，应设固定的有给排水设施的操作台。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配备与工用具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（餐具）相适应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的清洗、消毒设备设施，其大小和数量能满足需要。使用容器代替水池的，应设固定的有给排水设施的操作台。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设专用于拖把等清洁工具、用具的清洗水池（容器），其位置不会污染食品及其加工制作过程。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食品原料清洗、餐用具清洗消毒以及清洁工用具清洗水池(容器)分开专用，并以明显标识标明其用途。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设置与经营品种相适应的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工用具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（餐具）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保洁设施。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接触食品的设备、工具、容器、包装材料等符合食品安全标准或要求。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设置非手动带盖的废弃物存放容器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。废弃物容器与加工用容器有明显区分的标识。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50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.食品贮存场所与设施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食品和非食品存放场所（区域）明显分开。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经营的食品原料、成品等需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冷藏、冷冻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的，配备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冷藏、冷冻柜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冷藏、冷冻数量和结构能使原料、半成品和成品分开存放，有明显区分标识。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0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食品用水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食品制作使用水应符合国家生活饮用水卫生标准。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食品清洗、加工用水符合生活饮用水标准。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接触直接入口食品的水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经过水净化设施处理或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煮沸设施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或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使用直接饮用水。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6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9.管理制度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有与经营品种相适应的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食品安全自查、食品安全追溯、从业人员健康管理制度、定期清洗消毒空调及通风设施制度、定期清洁卫生间制度。经营者为企业的，还应有食品安全风险管控清单，有日管控、周排查、月调度制度，人员培训和考核制度，进货查验记录制度，场所及设施清洗清毒和维修保养制度，食品贮存管理制度，废弃物处置制度，不合格食品处置制度，食品安全事故处置方案以及食品经营过程控制制度等制度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50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卫生间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食品处理区内不得设置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卫生间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50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卫生间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设置有效排气设施。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9778" w:type="dxa"/>
            <w:gridSpan w:val="6"/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核查意见</w:t>
            </w:r>
          </w:p>
          <w:p>
            <w:pPr>
              <w:widowControl/>
              <w:spacing w:line="340" w:lineRule="exact"/>
              <w:ind w:firstLine="48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widowControl/>
              <w:spacing w:line="340" w:lineRule="exact"/>
              <w:ind w:firstLine="480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局（所）核查人员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根据《中华人民共和国食品安全法》等有关法律法规的规定，对该单位的食品经营场所进行了现场核查，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核查意见如下：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□通过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现场核查符合要求。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□限期整改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对照核查内容和评价标准限期进行整改完善。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□不予通过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退回整改后再行申请。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核查人员签字：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年     月     日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</w:p>
          <w:p>
            <w:pPr>
              <w:snapToGrid w:val="0"/>
              <w:spacing w:line="300" w:lineRule="exact"/>
              <w:ind w:firstLine="480" w:firstLineChars="20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食品经营单位负责人签字：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D768A"/>
    <w:rsid w:val="3DAF366C"/>
    <w:rsid w:val="43D15A95"/>
    <w:rsid w:val="4F7D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next w:val="3"/>
    <w:qFormat/>
    <w:uiPriority w:val="0"/>
    <w:pPr>
      <w:ind w:firstLine="602" w:firstLineChars="200"/>
    </w:pPr>
    <w:rPr>
      <w:rFonts w:ascii="仿宋" w:hAnsi="仿宋" w:eastAsia="仿宋"/>
      <w:sz w:val="30"/>
      <w:szCs w:val="30"/>
    </w:rPr>
  </w:style>
  <w:style w:type="paragraph" w:styleId="3">
    <w:name w:val="Body Text"/>
    <w:basedOn w:val="1"/>
    <w:qFormat/>
    <w:uiPriority w:val="0"/>
    <w:rPr>
      <w:rFonts w:hint="eastAsia" w:ascii="Times New Roman" w:hAnsi="Times New Roman" w:eastAsia="宋体" w:cs="Times New Roman"/>
      <w:sz w:val="32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975</Words>
  <Characters>992</Characters>
  <Lines>0</Lines>
  <Paragraphs>0</Paragraphs>
  <TotalTime>0</TotalTime>
  <ScaleCrop>false</ScaleCrop>
  <LinksUpToDate>false</LinksUpToDate>
  <CharactersWithSpaces>1173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2025-03-05T10:41:00Z</dcterms:created>
  <dc:creator>刘力康</dc:creator>
  <cp:lastModifiedBy>邹清</cp:lastModifiedBy>
  <dcterms:modified xsi:type="dcterms:W3CDTF">2025-04-02T01:27:01Z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9600FB1A158C44C2B4D048C5DC893E59_11</vt:lpwstr>
  </property>
  <property fmtid="{D5CDD505-2E9C-101B-9397-08002B2CF9AE}" pid="4" name="KSOTemplateDocerSaveRecord">
    <vt:lpwstr>eyJoZGlkIjoiMjcwZThkNTY2OTUyN2Y2YzA1NWE5NTg2YjcwOWNlZDgiLCJ1c2VySWQiOiI2MzE2NDAyOTIifQ==</vt:lpwstr>
  </property>
</Properties>
</file>